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262 vom 13. Januar 2026</w:t>
      </w:r>
    </w:p>
    <w:p>
      <w:r>
        <w:t>FR Kantonsgericht, 2026-01-13, FR</w:t>
      </w:r>
    </w:p>
    <w:p>
      <w:r>
        <w:rPr>
          <w:b/>
        </w:rPr>
        <w:t xml:space="preserve">Quelle: </w:t>
      </w:r>
      <w:r>
        <w:t>https://mcp.opencaselaw.ch/entscheid/fr_gerichte_102 2025 262</w:t>
      </w:r>
    </w:p>
    <w:p>
      <w:r>
        <w:t>FR: FR_GERICHTE 102 2025 262 du 13 janvier 2026</w:t>
      </w:r>
    </w:p>
    <w:p>
      <w:r>
        <w:t>IT: FR_GERICHTE 102 2025 262 del 13 gennaio 2026</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En l’espèce, la décision querellée a été notifiée à la recourante le 18 novembre 2025. Remis à la poste le 19 novembre 2025, le recours a été interjeté en temps utile, malgré le fait qu’il ait été adressé par erreur au premier juge (cf. ATF 140 III 636 consid. 3.7).</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allégations de fait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TF 5A_950/2014 du 16 avril 2015 consid. 3.5). En l’espèce, la recourante a produit, au stade du recours seulement, un certificat de cautionnement pour bail à usage commercial. En relation avec cette pièce, elle allègue que B.________ est intervenue en qualité de garante à titre personnel et non seulement comme représentante et gérante de la société D.________ Sàrl. Ce nouveau moyen de preuve, tardif au regard de l’art. 326 al. 1 CPC, est irrecevable. Il n’en sera dès lors pas tenu compte et la Cour statuera sur la base des pièces produites en première instance.</w:t>
      </w:r>
    </w:p>
    <w:p>
      <w:r>
        <w:t>Tribunal cantonal TC Page 3 de 4</w:t>
      </w:r>
    </w:p>
    <w:p>
      <w:r>
        <w:rPr>
          <w:b/>
        </w:rPr>
        <w:t>E. 1.4</w:t>
      </w:r>
    </w:p>
    <w:p>
      <w:r>
        <w:t>La Cour statue sans débats (art. 327 al. 2 CPC).</w:t>
      </w:r>
    </w:p>
    <w:p>
      <w:r>
        <w:rPr>
          <w:b/>
        </w:rPr>
        <w:t>E. 1.5</w:t>
      </w:r>
    </w:p>
    <w:p>
      <w:r>
        <w:t>La valeur litigieuse est de CHF 3'100.- de sorte que seul le recours constitutionnel subsidiaire est ouvert contre le présent arrêt (art. 74 al. 1 let. b et 113 ss LTF)</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Constitue une reconnaissance de dette au sens de l’art. 82 al. 1 LP l’acte sous seing privé, signé par le poursuivi ou son représentant, d’où ressort sa volonté de payer au poursuivant, sans réserve ni condition, une somme d’argent déterminée, ou aisément déterminable, et échue. Un contrat écrit justifie en principe la mainlevée provisoire de l’opposition pour la somme d’argent incombant au poursuivi lorsque les conditions d’exigibilité de la dette sont établies (ATF 145 III 20 consid. 4.1.1).</w:t>
      </w:r>
    </w:p>
    <w:p>
      <w:r>
        <w:rPr>
          <w:b/>
        </w:rPr>
        <w:t>E. 2.2</w:t>
      </w:r>
    </w:p>
    <w:p>
      <w:r>
        <w:t>En l’espèce, comme l’a justement constaté le premier juge, la débitrice désignée tant dans le commandement de payer n° ccc de l’Office des poursuites de la Sarine que dans la requête de mainlevée du 18 août 2025 est B.________. Or, le contrat de bail à loyer produit comme titre de mainlevée a été signé entre la requérante et la société D.________ Sàrl, dont B.________ est l’associée gérante, et concerne la location d’un local commercial pour l’exploitation d’un salon de tatouage. Rien n’indiquant que B.________ s’est engagée personnellement en vue de la location du local précité, c’est à juste que la Présidente ad hoc a considéré qu’il n’y avait pas identité entre la poursuivie, soit B.________, et la débitrice désignée dans le titre de mainlevée provisoire produit, soit D.________ Sàrl. Il s’ensuit le rejet du recours.</w:t>
      </w:r>
    </w:p>
    <w:p>
      <w:r>
        <w:rPr>
          <w:b/>
        </w:rPr>
        <w:t>E. 3</w:t>
      </w:r>
    </w:p>
    <w:p>
      <w:r>
        <w:t>Selon l’art. 106 al. 1 CPC, les frais sont mis à la charge de la partie succombante. Les frais comprennent les frais judiciaires et les dépens (art. 95 CPC). En l’espèce, le recours est rejeté. Dans ces circonstances, les frais judiciaires de la procédure de recours, fixés forfaitairement à CHF 150.- (art. 48 et 61 al. 1 OELP), sont mis à la charge de la recourante et prélevés sur son avance (art. 111 al. 1 CPC).</w:t>
      </w:r>
    </w:p>
    <w:p>
      <w:r>
        <w:t>Tribunal cantonal TC Page 4 de 4 Il n’y a pas lieu d’allouer de dépens à l’intimée, dès lors qu’elle ne s’est pas déterminée sur le recours. la Cour arrête : I. Le recours est rejeté. Partant, la décision prononcée le 12 novembre 2025 par la Présidente ad hoc du Tribunal civil de l’arrondissement de la Sarine est confirmée. II. Les frais judiciaires de la procédure de recours, fixés à CHF 150.-, sont mis à la charge de A.________ et prélevés sur l’avance qu’elle a versée.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janvier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